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9819" w14:textId="77777777" w:rsidR="008D6888" w:rsidRPr="008D6888" w:rsidRDefault="008D6888" w:rsidP="008D6888">
      <w:pPr>
        <w:rPr>
          <w:b/>
          <w:lang w:val="en-US"/>
        </w:rPr>
      </w:pPr>
      <w:r w:rsidRPr="008D6888">
        <w:rPr>
          <w:b/>
          <w:lang w:val="en-US"/>
        </w:rPr>
        <w:t xml:space="preserve">Using Large Cases Units (LCUs) and global co-operation between NSIs to respond to </w:t>
      </w:r>
      <w:proofErr w:type="spellStart"/>
      <w:r w:rsidRPr="008D6888">
        <w:rPr>
          <w:b/>
          <w:lang w:val="en-US"/>
        </w:rPr>
        <w:t>globalisation</w:t>
      </w:r>
      <w:proofErr w:type="spellEnd"/>
      <w:r w:rsidRPr="008D6888">
        <w:rPr>
          <w:b/>
          <w:lang w:val="en-US"/>
        </w:rPr>
        <w:t xml:space="preserve"> challenges</w:t>
      </w:r>
    </w:p>
    <w:p w14:paraId="2519BFFD" w14:textId="77777777" w:rsidR="008D6888" w:rsidRPr="008D6888" w:rsidRDefault="008D6888" w:rsidP="008D6888">
      <w:pPr>
        <w:rPr>
          <w:b/>
          <w:lang w:val="en-US"/>
        </w:rPr>
      </w:pPr>
      <w:r w:rsidRPr="008D6888">
        <w:rPr>
          <w:b/>
          <w:lang w:val="en-US"/>
        </w:rPr>
        <w:t>Concept Note</w:t>
      </w:r>
    </w:p>
    <w:p w14:paraId="67E71CA2" w14:textId="77777777" w:rsidR="008D6888" w:rsidRPr="008D6888" w:rsidRDefault="008D6888" w:rsidP="008D6888">
      <w:pPr>
        <w:rPr>
          <w:lang w:val="en-US"/>
        </w:rPr>
      </w:pPr>
      <w:r w:rsidRPr="008D6888">
        <w:rPr>
          <w:b/>
          <w:lang w:val="en-US"/>
        </w:rPr>
        <w:t>UN Network of Economic Statisticians (UNNES)</w:t>
      </w:r>
    </w:p>
    <w:p w14:paraId="284256E2" w14:textId="77777777" w:rsidR="008D6888" w:rsidRPr="008D6888" w:rsidRDefault="008D6888" w:rsidP="008D6888">
      <w:pPr>
        <w:rPr>
          <w:lang w:val="en-US"/>
        </w:rPr>
      </w:pPr>
    </w:p>
    <w:p w14:paraId="140BE263" w14:textId="77777777" w:rsidR="008D6888" w:rsidRPr="008D6888" w:rsidRDefault="008D6888" w:rsidP="008D6888">
      <w:pPr>
        <w:rPr>
          <w:lang w:val="en-US"/>
        </w:rPr>
      </w:pPr>
      <w:r w:rsidRPr="008D6888">
        <w:rPr>
          <w:b/>
          <w:lang w:val="en-US"/>
        </w:rPr>
        <w:t>Introduction</w:t>
      </w:r>
    </w:p>
    <w:p w14:paraId="26F8B1FB" w14:textId="77777777" w:rsidR="008D6888" w:rsidRPr="008D6888" w:rsidRDefault="008D6888" w:rsidP="008D6888">
      <w:pPr>
        <w:rPr>
          <w:lang w:val="en-US"/>
        </w:rPr>
      </w:pPr>
      <w:proofErr w:type="spellStart"/>
      <w:r w:rsidRPr="008D6888">
        <w:rPr>
          <w:lang w:val="en-US"/>
        </w:rPr>
        <w:t>Globalisation</w:t>
      </w:r>
      <w:proofErr w:type="spellEnd"/>
      <w:r w:rsidRPr="008D6888">
        <w:rPr>
          <w:lang w:val="en-US"/>
        </w:rPr>
        <w:t xml:space="preserve">, mainly driven by the rise and expansion of multinational enterprises (MNEs), have made it increasingly difficult for National Statistical Institutes (NSIs) to accurately capture economic activity using traditional statistical approaches and to ensure the consistency of data produced across the different domains of short terms economic indicators, structural business data and national accounts.   </w:t>
      </w:r>
    </w:p>
    <w:p w14:paraId="2DD09EA3" w14:textId="77777777" w:rsidR="008D6888" w:rsidRPr="008D6888" w:rsidRDefault="008D6888" w:rsidP="008D6888">
      <w:pPr>
        <w:rPr>
          <w:lang w:val="en-US"/>
        </w:rPr>
      </w:pPr>
      <w:r w:rsidRPr="008D6888">
        <w:rPr>
          <w:lang w:val="en-US"/>
        </w:rPr>
        <w:t xml:space="preserve">In particular, the international statistical community is facing a growing challenge: how to adequately measure an increasingly integrated and </w:t>
      </w:r>
      <w:proofErr w:type="spellStart"/>
      <w:r w:rsidRPr="008D6888">
        <w:rPr>
          <w:lang w:val="en-US"/>
        </w:rPr>
        <w:t>globalised</w:t>
      </w:r>
      <w:proofErr w:type="spellEnd"/>
      <w:r w:rsidRPr="008D6888">
        <w:rPr>
          <w:lang w:val="en-US"/>
        </w:rPr>
        <w:t xml:space="preserve"> economy. Production processes are fragmented across borders, ownership structures are complex and dynamic, and intangible assets and digital activities are becoming central and easily relocated drivers of value creation. These developments often blur the traditional statistical boundaries between countries and domains, creating inconsistencies and measurement gaps in key macroeconomic indicators.</w:t>
      </w:r>
    </w:p>
    <w:p w14:paraId="37628C63" w14:textId="77777777" w:rsidR="008D6888" w:rsidRPr="008D6888" w:rsidRDefault="008D6888" w:rsidP="008D6888">
      <w:pPr>
        <w:rPr>
          <w:lang w:val="en-US"/>
        </w:rPr>
      </w:pPr>
      <w:r w:rsidRPr="008D6888">
        <w:rPr>
          <w:lang w:val="en-US"/>
        </w:rPr>
        <w:t xml:space="preserve">As is well understood, the global scale of MNEs activities leads to a co-ordination failure for institutions operating at the national level, such as Fiscal Authorities, Ministry of </w:t>
      </w:r>
      <w:proofErr w:type="spellStart"/>
      <w:r w:rsidRPr="008D6888">
        <w:rPr>
          <w:lang w:val="en-US"/>
        </w:rPr>
        <w:t>Labour</w:t>
      </w:r>
      <w:proofErr w:type="spellEnd"/>
      <w:r w:rsidRPr="008D6888">
        <w:rPr>
          <w:lang w:val="en-US"/>
        </w:rPr>
        <w:t xml:space="preserve"> etc. In addition, a knowledge gap is usually associated with the understanding of MNEs operations, given the complexity of their operation.   </w:t>
      </w:r>
    </w:p>
    <w:p w14:paraId="5AB07C24" w14:textId="128B7052" w:rsidR="008D6888" w:rsidRPr="008D6888" w:rsidRDefault="008D6888" w:rsidP="008D6888">
      <w:pPr>
        <w:rPr>
          <w:lang w:val="en-US"/>
        </w:rPr>
      </w:pPr>
      <w:r w:rsidRPr="008D6888">
        <w:rPr>
          <w:lang w:val="en-US"/>
        </w:rPr>
        <w:t xml:space="preserve">Large Cases Units (LCUs) has recently emerged inside some NSIs as a possible solution to reduce the lack of internal and potentially international </w:t>
      </w:r>
      <w:r w:rsidR="00BB6440">
        <w:rPr>
          <w:lang w:val="en-US"/>
        </w:rPr>
        <w:t>co-operation</w:t>
      </w:r>
      <w:r w:rsidRPr="008D6888">
        <w:rPr>
          <w:lang w:val="en-US"/>
        </w:rPr>
        <w:t xml:space="preserve"> in managing the impact of MNEs on the consistency of statistical production across domains. LCUs provide a structured framework to monitor, profile, and collect data from the largest and most complex enterprises, which often have a disproportionate impact on national economies.</w:t>
      </w:r>
    </w:p>
    <w:p w14:paraId="3F976A8A" w14:textId="77777777" w:rsidR="008D6888" w:rsidRPr="008D6888" w:rsidRDefault="008D6888" w:rsidP="008D6888">
      <w:pPr>
        <w:rPr>
          <w:lang w:val="en-US"/>
        </w:rPr>
      </w:pPr>
      <w:r w:rsidRPr="008D6888">
        <w:rPr>
          <w:lang w:val="en-US"/>
        </w:rPr>
        <w:t xml:space="preserve">By focusing on large and complex businesses, LCUs </w:t>
      </w:r>
      <w:proofErr w:type="gramStart"/>
      <w:r w:rsidRPr="008D6888">
        <w:rPr>
          <w:lang w:val="en-US"/>
        </w:rPr>
        <w:t>enable</w:t>
      </w:r>
      <w:proofErr w:type="gramEnd"/>
      <w:r w:rsidRPr="008D6888">
        <w:rPr>
          <w:lang w:val="en-US"/>
        </w:rPr>
        <w:t xml:space="preserve"> better integration of microdata across business and trade statistical domains and </w:t>
      </w:r>
      <w:proofErr w:type="gramStart"/>
      <w:r w:rsidRPr="008D6888">
        <w:rPr>
          <w:lang w:val="en-US"/>
        </w:rPr>
        <w:t>improve</w:t>
      </w:r>
      <w:proofErr w:type="gramEnd"/>
      <w:r w:rsidRPr="008D6888">
        <w:rPr>
          <w:lang w:val="en-US"/>
        </w:rPr>
        <w:t xml:space="preserve"> the quality of macroeconomic statistics, national accounts and balance of payments. They also support closer engagement with enterprises, contributing to better data sharing and understanding of economic phenomena linked to </w:t>
      </w:r>
      <w:proofErr w:type="spellStart"/>
      <w:r w:rsidRPr="008D6888">
        <w:rPr>
          <w:lang w:val="en-US"/>
        </w:rPr>
        <w:t>globalisation</w:t>
      </w:r>
      <w:proofErr w:type="spellEnd"/>
      <w:r w:rsidRPr="008D6888">
        <w:rPr>
          <w:lang w:val="en-US"/>
        </w:rPr>
        <w:t xml:space="preserve">. In particular, the LCU approach - based on direct and sustained contact with the headquarters of large multinational enterprise groups - offers a unique opportunity to improve the accuracy, coherence, and timeliness of data. </w:t>
      </w:r>
    </w:p>
    <w:p w14:paraId="2EDEF478" w14:textId="77777777" w:rsidR="008D6888" w:rsidRPr="008D6888" w:rsidRDefault="008D6888" w:rsidP="008D6888">
      <w:pPr>
        <w:rPr>
          <w:lang w:val="en-US"/>
        </w:rPr>
      </w:pPr>
      <w:r w:rsidRPr="008D6888">
        <w:rPr>
          <w:lang w:val="en-US"/>
        </w:rPr>
        <w:t>LCUs usually incorporate specific skills as well as the ability to communicate with multinationals, thus constituting a body of high-level knowledge and skills essential to guarantee the coherence and correct classification of data with respect to different statistical domains.</w:t>
      </w:r>
    </w:p>
    <w:p w14:paraId="0C5A4399" w14:textId="063E6D9D" w:rsidR="008A40D6" w:rsidRPr="008D6888" w:rsidRDefault="008D6888">
      <w:pPr>
        <w:rPr>
          <w:lang w:val="en-US"/>
        </w:rPr>
      </w:pPr>
      <w:r w:rsidRPr="008D6888">
        <w:rPr>
          <w:lang w:val="en-US"/>
        </w:rPr>
        <w:t xml:space="preserve">Looking ahead, there is a clear need to move towards a more integrated international statistical framework, combining </w:t>
      </w:r>
      <w:proofErr w:type="spellStart"/>
      <w:r w:rsidRPr="008D6888">
        <w:rPr>
          <w:lang w:val="en-US"/>
        </w:rPr>
        <w:t>harmonised</w:t>
      </w:r>
      <w:proofErr w:type="spellEnd"/>
      <w:r w:rsidRPr="008D6888">
        <w:rPr>
          <w:lang w:val="en-US"/>
        </w:rPr>
        <w:t xml:space="preserve"> methodologies, enhanced information sharing, and stronger </w:t>
      </w:r>
      <w:r w:rsidRPr="008D6888">
        <w:rPr>
          <w:lang w:val="en-US"/>
        </w:rPr>
        <w:lastRenderedPageBreak/>
        <w:t xml:space="preserve">data infrastructure, while still ensuring compliance with statistical confidentiality and the protection of personal data. In this context, LCUs can play a pivotal role as building blocks of such a system, such as the establishment of a global LCUs networks as has already been experimentally tested in EU, enabling </w:t>
      </w:r>
      <w:proofErr w:type="spellStart"/>
      <w:r w:rsidRPr="008D6888">
        <w:rPr>
          <w:lang w:val="en-US"/>
        </w:rPr>
        <w:t>co-ordinated</w:t>
      </w:r>
      <w:proofErr w:type="spellEnd"/>
      <w:r w:rsidRPr="008D6888">
        <w:rPr>
          <w:lang w:val="en-US"/>
        </w:rPr>
        <w:t xml:space="preserve"> approaches across countries and fostering collaboration between NSIs and other key stakeholders.</w:t>
      </w:r>
      <w:r w:rsidRPr="008D6888">
        <w:rPr>
          <w:lang w:val="en-US"/>
        </w:rPr>
        <w:br/>
      </w:r>
      <w:r w:rsidRPr="008D6888">
        <w:rPr>
          <w:lang w:val="en-US"/>
        </w:rPr>
        <w:br/>
        <w:t>In this context, the United Nations Network of Economic Statisticians (UNNES) proposes a series of three sprints aimed at exploring the role, tools, and future development of LCUs, with particular emphasis on international co-operation, data infrastructure, and the needs of developing countries.</w:t>
      </w:r>
    </w:p>
    <w:sectPr w:rsidR="008A40D6" w:rsidRPr="008D6888" w:rsidSect="008D688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A1C0" w14:textId="77777777" w:rsidR="00A316CF" w:rsidRDefault="00A316CF" w:rsidP="008D6888">
      <w:pPr>
        <w:spacing w:after="0" w:line="240" w:lineRule="auto"/>
      </w:pPr>
      <w:r>
        <w:separator/>
      </w:r>
    </w:p>
  </w:endnote>
  <w:endnote w:type="continuationSeparator" w:id="0">
    <w:p w14:paraId="22B8669B" w14:textId="77777777" w:rsidR="00A316CF" w:rsidRDefault="00A316CF" w:rsidP="008D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6829" w14:textId="77777777" w:rsidR="00A316CF" w:rsidRDefault="00A316CF" w:rsidP="008D6888">
      <w:pPr>
        <w:spacing w:after="0" w:line="240" w:lineRule="auto"/>
      </w:pPr>
      <w:r>
        <w:separator/>
      </w:r>
    </w:p>
  </w:footnote>
  <w:footnote w:type="continuationSeparator" w:id="0">
    <w:p w14:paraId="39E93EE8" w14:textId="77777777" w:rsidR="00A316CF" w:rsidRDefault="00A316CF" w:rsidP="008D6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E8"/>
    <w:rsid w:val="000752FF"/>
    <w:rsid w:val="00236593"/>
    <w:rsid w:val="00611F0C"/>
    <w:rsid w:val="006D0A2E"/>
    <w:rsid w:val="008A40D6"/>
    <w:rsid w:val="008D6888"/>
    <w:rsid w:val="00A316CF"/>
    <w:rsid w:val="00BB6440"/>
    <w:rsid w:val="00DE12E8"/>
    <w:rsid w:val="00F019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9667"/>
  <w15:chartTrackingRefBased/>
  <w15:docId w15:val="{5C30FA6A-C6E2-494F-98E6-C067D1CE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2E8"/>
    <w:rPr>
      <w:rFonts w:eastAsiaTheme="majorEastAsia" w:cstheme="majorBidi"/>
      <w:color w:val="272727" w:themeColor="text1" w:themeTint="D8"/>
    </w:rPr>
  </w:style>
  <w:style w:type="paragraph" w:styleId="Title">
    <w:name w:val="Title"/>
    <w:basedOn w:val="Normal"/>
    <w:next w:val="Normal"/>
    <w:link w:val="TitleChar"/>
    <w:uiPriority w:val="10"/>
    <w:qFormat/>
    <w:rsid w:val="00DE1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2E8"/>
    <w:pPr>
      <w:spacing w:before="160"/>
      <w:jc w:val="center"/>
    </w:pPr>
    <w:rPr>
      <w:i/>
      <w:iCs/>
      <w:color w:val="404040" w:themeColor="text1" w:themeTint="BF"/>
    </w:rPr>
  </w:style>
  <w:style w:type="character" w:customStyle="1" w:styleId="QuoteChar">
    <w:name w:val="Quote Char"/>
    <w:basedOn w:val="DefaultParagraphFont"/>
    <w:link w:val="Quote"/>
    <w:uiPriority w:val="29"/>
    <w:rsid w:val="00DE12E8"/>
    <w:rPr>
      <w:i/>
      <w:iCs/>
      <w:color w:val="404040" w:themeColor="text1" w:themeTint="BF"/>
    </w:rPr>
  </w:style>
  <w:style w:type="paragraph" w:styleId="ListParagraph">
    <w:name w:val="List Paragraph"/>
    <w:basedOn w:val="Normal"/>
    <w:uiPriority w:val="34"/>
    <w:qFormat/>
    <w:rsid w:val="00DE12E8"/>
    <w:pPr>
      <w:ind w:left="720"/>
      <w:contextualSpacing/>
    </w:pPr>
  </w:style>
  <w:style w:type="character" w:styleId="IntenseEmphasis">
    <w:name w:val="Intense Emphasis"/>
    <w:basedOn w:val="DefaultParagraphFont"/>
    <w:uiPriority w:val="21"/>
    <w:qFormat/>
    <w:rsid w:val="00DE12E8"/>
    <w:rPr>
      <w:i/>
      <w:iCs/>
      <w:color w:val="0F4761" w:themeColor="accent1" w:themeShade="BF"/>
    </w:rPr>
  </w:style>
  <w:style w:type="paragraph" w:styleId="IntenseQuote">
    <w:name w:val="Intense Quote"/>
    <w:basedOn w:val="Normal"/>
    <w:next w:val="Normal"/>
    <w:link w:val="IntenseQuoteChar"/>
    <w:uiPriority w:val="30"/>
    <w:qFormat/>
    <w:rsid w:val="00DE1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2E8"/>
    <w:rPr>
      <w:i/>
      <w:iCs/>
      <w:color w:val="0F4761" w:themeColor="accent1" w:themeShade="BF"/>
    </w:rPr>
  </w:style>
  <w:style w:type="character" w:styleId="IntenseReference">
    <w:name w:val="Intense Reference"/>
    <w:basedOn w:val="DefaultParagraphFont"/>
    <w:uiPriority w:val="32"/>
    <w:qFormat/>
    <w:rsid w:val="00DE12E8"/>
    <w:rPr>
      <w:b/>
      <w:bCs/>
      <w:smallCaps/>
      <w:color w:val="0F4761" w:themeColor="accent1" w:themeShade="BF"/>
      <w:spacing w:val="5"/>
    </w:rPr>
  </w:style>
  <w:style w:type="paragraph" w:styleId="Header">
    <w:name w:val="header"/>
    <w:basedOn w:val="Normal"/>
    <w:link w:val="HeaderChar"/>
    <w:uiPriority w:val="99"/>
    <w:unhideWhenUsed/>
    <w:rsid w:val="008D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88"/>
  </w:style>
  <w:style w:type="paragraph" w:styleId="Footer">
    <w:name w:val="footer"/>
    <w:basedOn w:val="Normal"/>
    <w:link w:val="FooterChar"/>
    <w:uiPriority w:val="99"/>
    <w:unhideWhenUsed/>
    <w:rsid w:val="008D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3166</Characters>
  <Application>Microsoft Office Word</Application>
  <DocSecurity>0</DocSecurity>
  <Lines>26</Lines>
  <Paragraphs>7</Paragraphs>
  <ScaleCrop>false</ScaleCrop>
  <Company>Statcan</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Catherine (StatCan)</dc:creator>
  <cp:keywords/>
  <dc:description/>
  <cp:lastModifiedBy>Michaud, Catherine (StatCan)</cp:lastModifiedBy>
  <cp:revision>4</cp:revision>
  <dcterms:created xsi:type="dcterms:W3CDTF">2026-05-28T18:44:00Z</dcterms:created>
  <dcterms:modified xsi:type="dcterms:W3CDTF">2026-05-28T18:45:00Z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b9758d-3423-4996-986f-7b0f2fc774ee_Enabled">
    <vt:lpwstr>true</vt:lpwstr>
  </property>
  <property fmtid="{D5CDD505-2E9C-101B-9397-08002B2CF9AE}" pid="3" name="MSIP_Label_d0b9758d-3423-4996-986f-7b0f2fc774ee_SetDate">
    <vt:lpwstr>2026-05-28T18:44:44Z</vt:lpwstr>
  </property>
  <property fmtid="{D5CDD505-2E9C-101B-9397-08002B2CF9AE}" pid="4" name="MSIP_Label_d0b9758d-3423-4996-986f-7b0f2fc774ee_Method">
    <vt:lpwstr>Standard</vt:lpwstr>
  </property>
  <property fmtid="{D5CDD505-2E9C-101B-9397-08002B2CF9AE}" pid="5" name="MSIP_Label_d0b9758d-3423-4996-986f-7b0f2fc774ee_Name">
    <vt:lpwstr>UNCLASSIFIED</vt:lpwstr>
  </property>
  <property fmtid="{D5CDD505-2E9C-101B-9397-08002B2CF9AE}" pid="6" name="MSIP_Label_d0b9758d-3423-4996-986f-7b0f2fc774ee_SiteId">
    <vt:lpwstr>258f1f99-ee3d-42c7-bfc5-7af1b2343e02</vt:lpwstr>
  </property>
  <property fmtid="{D5CDD505-2E9C-101B-9397-08002B2CF9AE}" pid="7" name="MSIP_Label_d0b9758d-3423-4996-986f-7b0f2fc774ee_ActionId">
    <vt:lpwstr>8e89e840-01c6-4f01-bbcc-38a5accf738d</vt:lpwstr>
  </property>
  <property fmtid="{D5CDD505-2E9C-101B-9397-08002B2CF9AE}" pid="8" name="MSIP_Label_d0b9758d-3423-4996-986f-7b0f2fc774ee_ContentBits">
    <vt:lpwstr>0</vt:lpwstr>
  </property>
  <property fmtid="{D5CDD505-2E9C-101B-9397-08002B2CF9AE}" pid="9" name="MSIP_Label_d0b9758d-3423-4996-986f-7b0f2fc774ee_Tag">
    <vt:lpwstr>10, 3, 0, 1</vt:lpwstr>
  </property>
</Properties>
</file>